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66" w:rsidRDefault="00167866" w:rsidP="00167866">
      <w:pPr>
        <w:pStyle w:val="a4"/>
        <w:framePr w:w="3950" w:h="815" w:hRule="exact" w:wrap="none" w:vAnchor="page" w:hAnchor="page" w:x="7126" w:y="954"/>
        <w:shd w:val="clear" w:color="auto" w:fill="auto"/>
      </w:pPr>
      <w:r>
        <w:t>Приложение 3</w:t>
      </w:r>
    </w:p>
    <w:p w:rsidR="00167866" w:rsidRDefault="00167866" w:rsidP="00167866">
      <w:pPr>
        <w:pStyle w:val="a4"/>
        <w:framePr w:w="3950" w:h="815" w:hRule="exact" w:wrap="none" w:vAnchor="page" w:hAnchor="page" w:x="7126" w:y="954"/>
        <w:shd w:val="clear" w:color="auto" w:fill="auto"/>
      </w:pPr>
      <w:r>
        <w:t>к приказу МБУ КЦСОН «Надежда»</w:t>
      </w:r>
    </w:p>
    <w:p w:rsidR="00167866" w:rsidRDefault="00167866" w:rsidP="00167866">
      <w:pPr>
        <w:pStyle w:val="a4"/>
        <w:framePr w:w="3950" w:h="815" w:hRule="exact" w:wrap="none" w:vAnchor="page" w:hAnchor="page" w:x="7126" w:y="954"/>
        <w:shd w:val="clear" w:color="auto" w:fill="auto"/>
      </w:pPr>
      <w:r>
        <w:t>от 10.01.2018 № 19/1</w:t>
      </w:r>
    </w:p>
    <w:p w:rsidR="00167866" w:rsidRDefault="00167866" w:rsidP="00167866">
      <w:pPr>
        <w:pStyle w:val="10"/>
        <w:framePr w:w="9408" w:h="1670" w:hRule="exact" w:wrap="none" w:vAnchor="page" w:hAnchor="page" w:x="1674" w:y="1965"/>
        <w:shd w:val="clear" w:color="auto" w:fill="auto"/>
        <w:ind w:firstLine="0"/>
        <w:jc w:val="center"/>
      </w:pPr>
      <w:bookmarkStart w:id="0" w:name="bookmark15"/>
      <w:r>
        <w:t>Перечень</w:t>
      </w:r>
      <w:bookmarkEnd w:id="0"/>
    </w:p>
    <w:p w:rsidR="00167866" w:rsidRDefault="00167866" w:rsidP="00167866">
      <w:pPr>
        <w:pStyle w:val="50"/>
        <w:framePr w:w="9408" w:h="1670" w:hRule="exact" w:wrap="none" w:vAnchor="page" w:hAnchor="page" w:x="1674" w:y="1965"/>
        <w:shd w:val="clear" w:color="auto" w:fill="auto"/>
        <w:ind w:firstLine="0"/>
        <w:jc w:val="center"/>
      </w:pPr>
      <w:r>
        <w:t>коррупционных рисков в муниципальном бюджетном учреждении Комплексный Центр социального обслуживания населения «Надежда» Боготольского района с высоким риском коррупционных проявлений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Размещение заказов на поставку товаров, выполнение работ и оказание услуг для нужд учреждения, в том числе участие в работе аукционной комиссии;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Право решающей подписи;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Подготовка и визирование проектов решений;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 xml:space="preserve">Устранение нарушений, выявленных в результате проверки, и </w:t>
      </w:r>
      <w:proofErr w:type="gramStart"/>
      <w:r>
        <w:t>контроль за</w:t>
      </w:r>
      <w:proofErr w:type="gramEnd"/>
      <w:r>
        <w:t xml:space="preserve"> устранением выявленных нарушений т.п.;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Непосредственное ведение реестров, баз данных, содержащих значимую информацию для учреждения;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в т.ч. получение от обслуживаемых граждан денежных средств, ценных подарков, движимого и недвижимого имущества в порядке дарения, склонение обслуживаемых граждан к написанию завещания имущества в свою пользу;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Предоставление не предусмотренных законом преимуще</w:t>
      </w:r>
      <w:proofErr w:type="gramStart"/>
      <w:r>
        <w:t>ств дл</w:t>
      </w:r>
      <w:proofErr w:type="gramEnd"/>
      <w:r>
        <w:t>я поступления на работу в учреждение;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24"/>
        </w:tabs>
        <w:spacing w:line="370" w:lineRule="exact"/>
      </w:pPr>
      <w: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68"/>
        </w:tabs>
        <w:spacing w:line="370" w:lineRule="exact"/>
      </w:pPr>
      <w: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39"/>
        </w:tabs>
        <w:spacing w:line="370" w:lineRule="exact"/>
      </w:pPr>
      <w:r>
        <w:t>Нарушение установленного порядка рассмотрения обращений граждан;</w:t>
      </w:r>
    </w:p>
    <w:p w:rsidR="00167866" w:rsidRDefault="00167866" w:rsidP="00167866">
      <w:pPr>
        <w:pStyle w:val="20"/>
        <w:framePr w:w="9408" w:h="11530" w:hRule="exact" w:wrap="none" w:vAnchor="page" w:hAnchor="page" w:x="1674" w:y="4177"/>
        <w:numPr>
          <w:ilvl w:val="0"/>
          <w:numId w:val="1"/>
        </w:numPr>
        <w:shd w:val="clear" w:color="auto" w:fill="auto"/>
        <w:tabs>
          <w:tab w:val="left" w:pos="473"/>
        </w:tabs>
        <w:spacing w:line="370" w:lineRule="exact"/>
      </w:pPr>
      <w: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167866" w:rsidRDefault="00167866" w:rsidP="00167866">
      <w:pPr>
        <w:rPr>
          <w:sz w:val="2"/>
          <w:szCs w:val="2"/>
        </w:rPr>
        <w:sectPr w:rsidR="001678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866" w:rsidRDefault="00167866" w:rsidP="00167866">
      <w:pPr>
        <w:pStyle w:val="20"/>
        <w:framePr w:w="9403" w:h="2650" w:hRule="exact" w:wrap="none" w:vAnchor="page" w:hAnchor="page" w:x="1674" w:y="913"/>
        <w:numPr>
          <w:ilvl w:val="0"/>
          <w:numId w:val="1"/>
        </w:numPr>
        <w:shd w:val="clear" w:color="auto" w:fill="auto"/>
        <w:tabs>
          <w:tab w:val="left" w:pos="462"/>
        </w:tabs>
        <w:spacing w:line="370" w:lineRule="exact"/>
      </w:pPr>
      <w:r>
        <w:lastRenderedPageBreak/>
        <w:t>Нарушение должностными лицами требований нормативных правовых, ведомственных актов, регламентирующих вопросы организации планирования и проведения мероприятий, предусмотренных должностными обязанностями;</w:t>
      </w:r>
    </w:p>
    <w:p w:rsidR="00167866" w:rsidRDefault="00167866" w:rsidP="00167866">
      <w:pPr>
        <w:pStyle w:val="20"/>
        <w:framePr w:w="9403" w:h="2650" w:hRule="exact" w:wrap="none" w:vAnchor="page" w:hAnchor="page" w:x="1674" w:y="913"/>
        <w:numPr>
          <w:ilvl w:val="0"/>
          <w:numId w:val="1"/>
        </w:numPr>
        <w:shd w:val="clear" w:color="auto" w:fill="auto"/>
        <w:tabs>
          <w:tab w:val="left" w:pos="466"/>
        </w:tabs>
        <w:spacing w:line="370" w:lineRule="exact"/>
      </w:pPr>
      <w:r>
        <w:t>Искажение, сокрытие или представление заведомо ложных сведений в служебных учётных и отчётных документах, являющихся существенным элементом их служебной деятельности.</w:t>
      </w:r>
    </w:p>
    <w:p w:rsidR="00F2352B" w:rsidRDefault="00F2352B">
      <w:bookmarkStart w:id="1" w:name="_GoBack"/>
      <w:bookmarkEnd w:id="1"/>
    </w:p>
    <w:sectPr w:rsidR="00F2352B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37"/>
    <w:multiLevelType w:val="multilevel"/>
    <w:tmpl w:val="1BAAC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866"/>
    <w:rsid w:val="00167866"/>
    <w:rsid w:val="002B2DF4"/>
    <w:rsid w:val="00993BEB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8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7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7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1678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67866"/>
    <w:pPr>
      <w:shd w:val="clear" w:color="auto" w:fill="FFFFFF"/>
      <w:spacing w:line="322" w:lineRule="exact"/>
      <w:ind w:hanging="20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678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67866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16786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Надежда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2</cp:revision>
  <dcterms:created xsi:type="dcterms:W3CDTF">2018-07-18T09:32:00Z</dcterms:created>
  <dcterms:modified xsi:type="dcterms:W3CDTF">2018-07-20T08:40:00Z</dcterms:modified>
</cp:coreProperties>
</file>